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lang/>
        </w:rPr>
        <w:drawing>
          <wp:inline distT="0" distB="0" distL="114300" distR="114300">
            <wp:extent cx="645160" cy="885190"/>
            <wp:effectExtent l="0" t="0" r="10160" b="139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СОРУМ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>
      <w:pPr>
        <w:jc w:val="right"/>
        <w:rPr>
          <w:b/>
        </w:rPr>
      </w:pPr>
      <w:r>
        <w:rPr>
          <w:color w:val="000000"/>
        </w:rPr>
        <w:t xml:space="preserve"> </w:t>
      </w:r>
    </w:p>
    <w:p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Проект-</w:t>
      </w:r>
    </w:p>
    <w:p>
      <w:pPr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>
      <w:pPr>
        <w:ind w:firstLine="539"/>
        <w:jc w:val="both"/>
        <w:rPr>
          <w:color w:val="000000"/>
        </w:rPr>
      </w:pPr>
    </w:p>
    <w:p>
      <w:pPr>
        <w:ind w:firstLine="539"/>
        <w:jc w:val="both"/>
        <w:rPr>
          <w:color w:val="000000"/>
        </w:rPr>
      </w:pPr>
    </w:p>
    <w:p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>от      апреля 2024 года</w:t>
      </w:r>
      <w:r>
        <w:rPr>
          <w:color w:val="000000"/>
        </w:rPr>
        <w:tab/>
      </w:r>
      <w:r>
        <w:rPr>
          <w:color w:val="000000"/>
        </w:rPr>
        <w:t xml:space="preserve"> № </w:t>
      </w:r>
    </w:p>
    <w:p>
      <w:pPr>
        <w:ind w:firstLine="539"/>
        <w:jc w:val="both"/>
        <w:rPr>
          <w:color w:val="000000"/>
        </w:rPr>
      </w:pPr>
    </w:p>
    <w:p>
      <w:pPr>
        <w:ind w:firstLine="539"/>
        <w:jc w:val="both"/>
        <w:rPr>
          <w:color w:val="00000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 в  приложение 1  к постановлению администрации сельского поселения Сорум от 18 июля 2013 года № 68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pStyle w:val="2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В   соответствии   с  постановлением Губернатора Ханты-Мансийского автономного округа – Югры   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  Ханты-Мансийского автономного округа - Югры    сведений о  доходах,  расходах,    об имуществе   и   обязательствах   имущественного    характера»  п о с т а н о в л я ю:</w:t>
      </w:r>
    </w:p>
    <w:p>
      <w:pPr>
        <w:pStyle w:val="20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1 «Порядок представления муниципальными служащими администрации сельского поселения Сорум сведений о своих расходах, а также о расходах своих супруги (супруга) и несовершеннолетних детей»  к  постановлению  администрации   Белоярского  района   от  18  июля  2013 года № 68 «О Порядке представления  муниципальными служащими администрации сельского поселения Сорум сведений о своих расходах, а также о расходах своих супруги (супруга) и несовершеннолетних детей»     следующие изменения: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1) дополнить пунктами 3.2 следующего содержания: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«3.2. Сведения, представляемые муниципальными служащими, представляются 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Подписание указанных сведений осуществляется электронной подписью одним из следующих способов: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а) с помощью мобильного приложения «Госключ»;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б) с помощью сервиса по работе с криптографией, установленного на автоматизированном рабочем месте (далее - АРМ).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Сведения,  подписанные с помощью мобильного приложения «Госключ» или сервиса по работе с криптографией, установленного на АРМ, загружаются в Систему с приложением архивного файла в формате *.zip, содержащего электронный образ справки в форматах *.xsb и *.pdf, файл электронной подписи в формате *.sig, которой подписан электронный образ справки в формате *.pdf.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Пояснения и иные документы, прилагаемые к справке, помещаются в вышеуказанный архивный файл в формате *.pdf.»;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</w:t>
      </w:r>
      <w:r>
        <w:tab/>
      </w:r>
      <w:r>
        <w:t>2) пункт 6 изложить в следующей редакции: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 </w:t>
      </w:r>
      <w:r>
        <w:tab/>
      </w:r>
      <w:r>
        <w:t>«6. Сведения о расходах в установленном порядке размещаются в информационно-телекоммуникационной сети Интернет на официальном сайте органов местного самоуправления сельского поселения Сорум.»;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</w:t>
      </w:r>
      <w:r>
        <w:tab/>
      </w:r>
      <w:r>
        <w:t>3)   дополнить пунктом 8.1 следующего содержания: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</w:t>
      </w:r>
      <w:r>
        <w:tab/>
      </w:r>
      <w:r>
        <w:t>«8.1. Приобщение сведений, указанных в настоящем Порядке, к личным делам муниципальных  служащих осуществляется одним из следующих способов: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         а) сотрудник кадровой службы администрации сельского поселения Сорум выгружает из Системы и распечатывает представленные в электронном виде сведения, с визуализацией электронной цифровой подписи;</w:t>
      </w:r>
    </w:p>
    <w:p>
      <w:pPr>
        <w:pStyle w:val="2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</w:t>
      </w:r>
      <w:r>
        <w:tab/>
      </w:r>
      <w:r>
        <w:t>б) муниципальные служащие по собственной инициативе либо по запросу соответствующей кадровой службы  представляют им сведения, подписанные лично, на бумажном носителе.».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/>
        <w:ind w:firstLine="708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Признать утратившим силу постановление администрации сельского поселения Сорум от 10 апреля 2024 года № 27 «</w:t>
      </w:r>
      <w:r>
        <w:rPr>
          <w:rFonts w:hint="default"/>
          <w:b w:val="0"/>
          <w:bCs w:val="0"/>
          <w:sz w:val="24"/>
          <w:szCs w:val="24"/>
        </w:rPr>
        <w:t>О внесении изменений  в  приложение 1  к постановлению администрации сельского поселения Сорум от 18 июля 2013 года № 68</w:t>
      </w:r>
      <w:r>
        <w:rPr>
          <w:rFonts w:hint="default"/>
          <w:b w:val="0"/>
          <w:bCs w:val="0"/>
          <w:lang w:val="ru-RU"/>
        </w:rPr>
        <w:t>».</w:t>
      </w:r>
    </w:p>
    <w:p>
      <w:pPr>
        <w:autoSpaceDE w:val="0"/>
        <w:autoSpaceDN w:val="0"/>
        <w:adjustRightInd w:val="0"/>
        <w:ind w:firstLine="708"/>
        <w:jc w:val="both"/>
      </w:pPr>
      <w:r>
        <w:rPr>
          <w:rFonts w:hint="default"/>
          <w:lang w:val="ru-RU"/>
        </w:rPr>
        <w:t>3</w:t>
      </w:r>
      <w:r>
        <w:t>.  Опубликовать настоящее постановление в бюллетене «Официальный вестник сельского поселения Сорум».</w:t>
      </w:r>
    </w:p>
    <w:p>
      <w:pPr>
        <w:autoSpaceDE w:val="0"/>
        <w:autoSpaceDN w:val="0"/>
        <w:adjustRightInd w:val="0"/>
        <w:ind w:firstLine="708"/>
        <w:jc w:val="both"/>
      </w:pPr>
      <w:r>
        <w:rPr>
          <w:rFonts w:hint="default"/>
          <w:lang w:val="ru-RU"/>
        </w:rPr>
        <w:t>4</w:t>
      </w:r>
      <w:r>
        <w:t>. Настоящее постановление вступает в силу после его официального опубликования.</w:t>
      </w:r>
    </w:p>
    <w:p>
      <w:pPr>
        <w:ind w:firstLine="709"/>
        <w:jc w:val="both"/>
        <w:rPr>
          <w:color w:val="000000"/>
        </w:rPr>
      </w:pPr>
      <w:r>
        <w:rPr>
          <w:rFonts w:hint="default"/>
          <w:lang w:val="ru-RU"/>
        </w:rPr>
        <w:t>5</w:t>
      </w:r>
      <w:r>
        <w:t>. Контроль за выполнением постановления возложить на главного специалиста сектора организационной деятельности администрации сельского поселения Сорум.</w:t>
      </w:r>
    </w:p>
    <w:p>
      <w:pPr>
        <w:ind w:firstLine="539"/>
        <w:jc w:val="both"/>
        <w:rPr>
          <w:color w:val="000000"/>
        </w:rPr>
      </w:pPr>
    </w:p>
    <w:p>
      <w:pPr>
        <w:tabs>
          <w:tab w:val="left" w:pos="1418"/>
        </w:tabs>
        <w:jc w:val="both"/>
      </w:pPr>
    </w:p>
    <w:p>
      <w:pPr>
        <w:tabs>
          <w:tab w:val="left" w:pos="1418"/>
        </w:tabs>
        <w:jc w:val="both"/>
      </w:pPr>
    </w:p>
    <w:p>
      <w:pPr>
        <w:tabs>
          <w:tab w:val="left" w:pos="1418"/>
        </w:tabs>
        <w:jc w:val="both"/>
        <w:rPr>
          <w:rFonts w:hint="default"/>
          <w:lang w:val="ru-RU"/>
        </w:rPr>
      </w:pP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сельского поселения Сорум           </w:t>
      </w:r>
      <w:bookmarkStart w:id="0" w:name="_GoBack"/>
      <w:bookmarkEnd w:id="0"/>
      <w:r>
        <w:t xml:space="preserve">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</w:p>
    <w:p>
      <w:pPr>
        <w:tabs>
          <w:tab w:val="left" w:pos="7740"/>
        </w:tabs>
        <w:jc w:val="both"/>
        <w:rPr>
          <w:color w:val="000000"/>
        </w:rPr>
      </w:pPr>
    </w:p>
    <w:p>
      <w:pPr>
        <w:tabs>
          <w:tab w:val="left" w:pos="7740"/>
        </w:tabs>
        <w:jc w:val="both"/>
        <w:rPr>
          <w:color w:val="000000"/>
        </w:rPr>
      </w:pPr>
    </w:p>
    <w:p>
      <w:pPr>
        <w:ind w:firstLine="539"/>
        <w:jc w:val="both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sectPr>
      <w:headerReference r:id="rId3" w:type="default"/>
      <w:headerReference r:id="rId4" w:type="even"/>
      <w:pgSz w:w="11906" w:h="16838"/>
      <w:pgMar w:top="709" w:right="850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4C0BFE"/>
    <w:multiLevelType w:val="singleLevel"/>
    <w:tmpl w:val="9F4C0BF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251"/>
    <w:rsid w:val="00047898"/>
    <w:rsid w:val="000D2565"/>
    <w:rsid w:val="000D4C69"/>
    <w:rsid w:val="00140BB5"/>
    <w:rsid w:val="001560F2"/>
    <w:rsid w:val="00162AE8"/>
    <w:rsid w:val="001757F6"/>
    <w:rsid w:val="00197D1E"/>
    <w:rsid w:val="001C53F8"/>
    <w:rsid w:val="001E6553"/>
    <w:rsid w:val="001E72AD"/>
    <w:rsid w:val="00200460"/>
    <w:rsid w:val="00204363"/>
    <w:rsid w:val="0020773A"/>
    <w:rsid w:val="0022229E"/>
    <w:rsid w:val="002342B5"/>
    <w:rsid w:val="00245379"/>
    <w:rsid w:val="00251BC4"/>
    <w:rsid w:val="0028400A"/>
    <w:rsid w:val="002B6497"/>
    <w:rsid w:val="0030067A"/>
    <w:rsid w:val="0033629B"/>
    <w:rsid w:val="00344F51"/>
    <w:rsid w:val="00354D81"/>
    <w:rsid w:val="003563C1"/>
    <w:rsid w:val="00383A33"/>
    <w:rsid w:val="003B2FA3"/>
    <w:rsid w:val="00431D66"/>
    <w:rsid w:val="00471051"/>
    <w:rsid w:val="004B1E70"/>
    <w:rsid w:val="004F7B0C"/>
    <w:rsid w:val="0050196A"/>
    <w:rsid w:val="00554AF9"/>
    <w:rsid w:val="005762EA"/>
    <w:rsid w:val="00600FFC"/>
    <w:rsid w:val="00627DFB"/>
    <w:rsid w:val="00635A00"/>
    <w:rsid w:val="00655F17"/>
    <w:rsid w:val="006B3C57"/>
    <w:rsid w:val="006E2B17"/>
    <w:rsid w:val="00786129"/>
    <w:rsid w:val="00786B9B"/>
    <w:rsid w:val="007B5171"/>
    <w:rsid w:val="007E1064"/>
    <w:rsid w:val="007E2082"/>
    <w:rsid w:val="007E7A3E"/>
    <w:rsid w:val="00800D20"/>
    <w:rsid w:val="0081141A"/>
    <w:rsid w:val="008336B9"/>
    <w:rsid w:val="008354F1"/>
    <w:rsid w:val="00857D85"/>
    <w:rsid w:val="008706B9"/>
    <w:rsid w:val="008736A5"/>
    <w:rsid w:val="008A0852"/>
    <w:rsid w:val="008A7DF1"/>
    <w:rsid w:val="008B4224"/>
    <w:rsid w:val="008B51E3"/>
    <w:rsid w:val="008C1CC6"/>
    <w:rsid w:val="008C4D59"/>
    <w:rsid w:val="008C534D"/>
    <w:rsid w:val="008F5ED7"/>
    <w:rsid w:val="00905441"/>
    <w:rsid w:val="009257F4"/>
    <w:rsid w:val="00940D06"/>
    <w:rsid w:val="00952D92"/>
    <w:rsid w:val="009644C7"/>
    <w:rsid w:val="009667EA"/>
    <w:rsid w:val="00A1490C"/>
    <w:rsid w:val="00A33DAC"/>
    <w:rsid w:val="00A544BF"/>
    <w:rsid w:val="00A562E6"/>
    <w:rsid w:val="00A75C69"/>
    <w:rsid w:val="00A84FB3"/>
    <w:rsid w:val="00AB37A9"/>
    <w:rsid w:val="00AC6E53"/>
    <w:rsid w:val="00B04953"/>
    <w:rsid w:val="00B07E24"/>
    <w:rsid w:val="00B25E82"/>
    <w:rsid w:val="00B37E04"/>
    <w:rsid w:val="00B41E17"/>
    <w:rsid w:val="00B575F8"/>
    <w:rsid w:val="00B620A5"/>
    <w:rsid w:val="00B8317A"/>
    <w:rsid w:val="00BA5761"/>
    <w:rsid w:val="00BF25A7"/>
    <w:rsid w:val="00C2075B"/>
    <w:rsid w:val="00C26CDE"/>
    <w:rsid w:val="00C33331"/>
    <w:rsid w:val="00CA4D2F"/>
    <w:rsid w:val="00CA7858"/>
    <w:rsid w:val="00CC38F2"/>
    <w:rsid w:val="00CF1AD4"/>
    <w:rsid w:val="00CF449A"/>
    <w:rsid w:val="00D024FE"/>
    <w:rsid w:val="00D04870"/>
    <w:rsid w:val="00D14394"/>
    <w:rsid w:val="00D25D43"/>
    <w:rsid w:val="00D30DA9"/>
    <w:rsid w:val="00D50E33"/>
    <w:rsid w:val="00D760DD"/>
    <w:rsid w:val="00D833BE"/>
    <w:rsid w:val="00E35D7D"/>
    <w:rsid w:val="00E45E3C"/>
    <w:rsid w:val="00E62B0C"/>
    <w:rsid w:val="00E87A58"/>
    <w:rsid w:val="00EB343B"/>
    <w:rsid w:val="00ED31B9"/>
    <w:rsid w:val="00F04327"/>
    <w:rsid w:val="00F2543B"/>
    <w:rsid w:val="00F2723A"/>
    <w:rsid w:val="00F72EC8"/>
    <w:rsid w:val="00F732AA"/>
    <w:rsid w:val="00F87833"/>
    <w:rsid w:val="00F92114"/>
    <w:rsid w:val="00FB4C97"/>
    <w:rsid w:val="00FE21A0"/>
    <w:rsid w:val="00FF076E"/>
    <w:rsid w:val="6C126A71"/>
    <w:rsid w:val="715D5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5">
    <w:name w:val="Знак"/>
    <w:basedOn w:val="1"/>
    <w:link w:val="4"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7">
    <w:name w:val="page number"/>
    <w:basedOn w:val="4"/>
    <w:uiPriority w:val="0"/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12">
    <w:name w:val="ConsPlusTitle"/>
    <w:uiPriority w:val="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 w:bidi="ar-SA"/>
    </w:rPr>
  </w:style>
  <w:style w:type="paragraph" w:customStyle="1" w:styleId="13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paragraph" w:customStyle="1" w:styleId="14">
    <w:name w:val="heading"/>
    <w:basedOn w:val="1"/>
    <w:uiPriority w:val="0"/>
    <w:pPr>
      <w:spacing w:before="100" w:beforeAutospacing="1" w:after="100" w:afterAutospacing="1"/>
    </w:pPr>
  </w:style>
  <w:style w:type="paragraph" w:customStyle="1" w:styleId="15">
    <w:name w:val=" Знак Знак1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"/>
    <w:basedOn w:val="1"/>
    <w:uiPriority w:val="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7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Style16"/>
    <w:basedOn w:val="1"/>
    <w:uiPriority w:val="0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19">
    <w:name w:val="Font Style23"/>
    <w:uiPriority w:val="0"/>
    <w:rPr>
      <w:rFonts w:ascii="Times New Roman" w:hAnsi="Times New Roman"/>
      <w:sz w:val="22"/>
    </w:rPr>
  </w:style>
  <w:style w:type="paragraph" w:customStyle="1" w:styleId="20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21">
    <w:name w:val="Normal"/>
    <w:uiPriority w:val="0"/>
    <w:pPr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2</Pages>
  <Words>618</Words>
  <Characters>3529</Characters>
  <Lines>29</Lines>
  <Paragraphs>8</Paragraphs>
  <TotalTime>4</TotalTime>
  <ScaleCrop>false</ScaleCrop>
  <LinksUpToDate>false</LinksUpToDate>
  <CharactersWithSpaces>4139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2024-03-28T10:59:00Z</dcterms:created>
  <dc:creator>shevchenkouv</dc:creator>
  <cp:lastModifiedBy>Специалист СОД</cp:lastModifiedBy>
  <cp:lastPrinted>2013-05-13T06:22:00Z</cp:lastPrinted>
  <dcterms:modified xsi:type="dcterms:W3CDTF">2024-04-24T04:28:51Z</dcterms:modified>
  <dc:title>АДМИНИСТРАЦИЯ ОКТЯБРЬСКОГО РАЙОНА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AA8288FEB699449BA025D1E74EBC706C_13</vt:lpwstr>
  </property>
</Properties>
</file>